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7E" w:rsidRDefault="00DB307E" w:rsidP="00DB307E">
      <w:pPr>
        <w:jc w:val="center"/>
        <w:rPr>
          <w:b/>
        </w:rPr>
      </w:pPr>
      <w:r>
        <w:rPr>
          <w:b/>
        </w:rPr>
        <w:t>Lista gatunków proponowanych do włączenia do listy inwazyjnych gatunków obcych uznanych za stwarzające zagrożenie dla Unii</w:t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970"/>
        <w:gridCol w:w="2966"/>
        <w:gridCol w:w="2966"/>
      </w:tblGrid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>
            <w:pPr>
              <w:spacing w:before="120" w:after="60" w:line="240" w:lineRule="auto"/>
              <w:ind w:left="360"/>
              <w:contextualSpacing/>
              <w:jc w:val="center"/>
              <w:rPr>
                <w:rFonts w:eastAsia="Times New Roman" w:cs="Times New Roman"/>
                <w:b/>
                <w:iCs/>
                <w:lang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Cs/>
                <w:lang w:val="en-GB" w:eastAsia="it-IT"/>
              </w:rPr>
              <w:t>polska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jc w:val="center"/>
              <w:rPr>
                <w:rFonts w:eastAsia="Times New Roman" w:cs="Times New Roman"/>
                <w:b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Cs/>
                <w:lang w:val="en-GB" w:eastAsia="it-IT"/>
              </w:rPr>
              <w:t>łacińska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E" w:rsidRDefault="00DB307E">
            <w:pPr>
              <w:spacing w:after="60" w:line="240" w:lineRule="auto"/>
              <w:jc w:val="center"/>
              <w:rPr>
                <w:rFonts w:eastAsia="Times New Roman" w:cs="Times New Roman"/>
                <w:b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b/>
                <w:iCs/>
                <w:lang w:val="en-GB" w:eastAsia="it-IT"/>
              </w:rPr>
              <w:t>Uwaga</w:t>
            </w:r>
            <w:proofErr w:type="spellEnd"/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gęsiówka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egipska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Alopochen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aegyptiacus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>
              <w:rPr>
                <w:rFonts w:eastAsia="Times New Roman" w:cs="Times New Roman"/>
                <w:lang w:val="en-GB" w:eastAsia="it-IT"/>
              </w:rPr>
              <w:t>-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Alternanthera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philoxeroides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trojeść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amerykańska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Asclepias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syriaca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moczarka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delikatna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Elodea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nuttallii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gunera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brazylijska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Gunnera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tinctoria</w:t>
            </w:r>
            <w:proofErr w:type="spellEnd"/>
            <w:r>
              <w:rPr>
                <w:rFonts w:eastAsia="Calibri" w:cs="Times New Roman"/>
                <w:i/>
                <w:lang w:val="en-GB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barszcz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Mantegazziego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barszcz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kaukaski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>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Heracleum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mantegazzianum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niecierpek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gruczołowaty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Impatiens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glandulifera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>
              <w:rPr>
                <w:rFonts w:eastAsia="Times New Roman" w:cs="Times New Roman"/>
                <w:lang w:val="en-GB" w:eastAsia="it-IT"/>
              </w:rPr>
              <w:t>-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Microstegium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vimineum</w:t>
            </w:r>
            <w:proofErr w:type="spellEnd"/>
            <w:r>
              <w:rPr>
                <w:rFonts w:eastAsia="Calibri" w:cs="Times New Roman"/>
                <w:lang w:val="en-GB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wywłócznik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różnolistny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Myriophyllum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heterophyllum</w:t>
            </w:r>
            <w:proofErr w:type="spellEnd"/>
            <w:r>
              <w:rPr>
                <w:rFonts w:eastAsia="Calibri" w:cs="Times New Roman"/>
                <w:lang w:val="en-GB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jenot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Nyctereutes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procyonoides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piżmak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Ondatra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zibethicus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DB307E" w:rsidTr="00DB307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E" w:rsidRDefault="00DB307E" w:rsidP="009B64F1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lang w:val="en-GB" w:eastAsia="it-IT"/>
              </w:rPr>
              <w:t>rozplenica</w:t>
            </w:r>
            <w:proofErr w:type="spellEnd"/>
            <w:r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it-IT"/>
              </w:rPr>
              <w:t>szczecinkowata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Pennisetum</w:t>
            </w:r>
            <w:proofErr w:type="spellEnd"/>
            <w:r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lang w:val="en-GB" w:eastAsia="it-IT"/>
              </w:rPr>
              <w:t>setaceum</w:t>
            </w:r>
            <w:proofErr w:type="spellEnd"/>
            <w:r>
              <w:rPr>
                <w:rFonts w:eastAsia="Calibri" w:cs="Times New Roman"/>
                <w:lang w:val="en-GB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7E" w:rsidRDefault="00DB307E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</w:tbl>
    <w:p w:rsidR="00F705D6" w:rsidRPr="00DB307E" w:rsidRDefault="00DB307E" w:rsidP="00DB307E">
      <w:bookmarkStart w:id="0" w:name="_GoBack"/>
      <w:bookmarkEnd w:id="0"/>
    </w:p>
    <w:sectPr w:rsidR="00F705D6" w:rsidRPr="00DB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E"/>
    <w:rsid w:val="000B7501"/>
    <w:rsid w:val="00BE747B"/>
    <w:rsid w:val="00D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9BBD-7BF2-476B-9A96-21D748C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Morawska</dc:creator>
  <cp:keywords/>
  <dc:description/>
  <cp:lastModifiedBy>Katarzyna Morawska</cp:lastModifiedBy>
  <cp:revision>1</cp:revision>
  <dcterms:created xsi:type="dcterms:W3CDTF">2017-05-10T10:54:00Z</dcterms:created>
  <dcterms:modified xsi:type="dcterms:W3CDTF">2017-05-10T10:54:00Z</dcterms:modified>
</cp:coreProperties>
</file>